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C8" w:rsidRPr="00D53F16" w:rsidRDefault="008C4CC8" w:rsidP="00D53F16">
      <w:pPr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autoSpaceDE w:val="0"/>
        <w:autoSpaceDN w:val="0"/>
        <w:spacing w:line="360" w:lineRule="auto"/>
        <w:jc w:val="center"/>
        <w:rPr>
          <w:rFonts w:ascii="標楷體" w:eastAsia="標楷體" w:hAnsi="標楷體" w:cs="標楷體"/>
          <w:kern w:val="0"/>
          <w:sz w:val="36"/>
          <w:szCs w:val="36"/>
        </w:rPr>
      </w:pPr>
      <w:r w:rsidRPr="00BF01DF">
        <w:rPr>
          <w:rFonts w:ascii="標楷體" w:eastAsia="標楷體" w:hAnsi="標楷體" w:cs="標楷體" w:hint="eastAsia"/>
          <w:color w:val="000000"/>
          <w:kern w:val="0"/>
          <w:sz w:val="36"/>
          <w:szCs w:val="36"/>
          <w:shd w:val="clear" w:color="auto" w:fill="FFFFFF"/>
        </w:rPr>
        <w:t>桃園市</w:t>
      </w:r>
      <w:r w:rsidR="00C5799C">
        <w:rPr>
          <w:rFonts w:ascii="標楷體" w:eastAsia="標楷體" w:hAnsi="標楷體" w:cs="標楷體" w:hint="eastAsia"/>
          <w:color w:val="000000"/>
          <w:kern w:val="0"/>
          <w:sz w:val="36"/>
          <w:szCs w:val="36"/>
          <w:shd w:val="clear" w:color="auto" w:fill="FFFFFF"/>
        </w:rPr>
        <w:t>內柵國民</w:t>
      </w:r>
      <w:r w:rsidR="00BB652E">
        <w:rPr>
          <w:rFonts w:ascii="標楷體" w:eastAsia="標楷體" w:hAnsi="標楷體" w:cs="標楷體" w:hint="eastAsia"/>
          <w:color w:val="000000"/>
          <w:kern w:val="0"/>
          <w:sz w:val="36"/>
          <w:szCs w:val="36"/>
          <w:shd w:val="clear" w:color="auto" w:fill="FFFFFF"/>
        </w:rPr>
        <w:t>小學校長及教師公開授課實施計畫</w:t>
      </w:r>
      <w:r w:rsidR="00D53F16"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</w:t>
      </w:r>
      <w:r w:rsidR="00D53F16">
        <w:rPr>
          <w:rFonts w:ascii="標楷體" w:eastAsia="標楷體" w:hAnsi="標楷體" w:cs="標楷體"/>
          <w:kern w:val="0"/>
          <w:sz w:val="36"/>
          <w:szCs w:val="36"/>
        </w:rPr>
        <w:t xml:space="preserve">                   </w:t>
      </w:r>
    </w:p>
    <w:p w:rsidR="00CB11B5" w:rsidRPr="00CB11B5" w:rsidRDefault="00CB11B5" w:rsidP="00CB11B5">
      <w:pPr>
        <w:pStyle w:val="aa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  <w:kern w:val="0"/>
        </w:rPr>
      </w:pPr>
      <w:r w:rsidRPr="00CB11B5">
        <w:rPr>
          <w:rFonts w:ascii="標楷體" w:eastAsia="標楷體" w:hAnsi="標楷體" w:cs="標楷體" w:hint="eastAsia"/>
          <w:kern w:val="0"/>
        </w:rPr>
        <w:t>依據：</w:t>
      </w:r>
      <w:r>
        <w:rPr>
          <w:rFonts w:ascii="標楷體" w:eastAsia="標楷體" w:hAnsi="標楷體" w:cs="標楷體" w:hint="eastAsia"/>
          <w:kern w:val="0"/>
        </w:rPr>
        <w:t>桃園市政府教育局</w:t>
      </w:r>
      <w:r w:rsidRPr="00BF01DF">
        <w:rPr>
          <w:rFonts w:ascii="標楷體" w:eastAsia="標楷體" w:hAnsi="標楷體" w:cstheme="minorBidi" w:hint="eastAsia"/>
        </w:rPr>
        <w:t>107年11月28日</w:t>
      </w:r>
      <w:r w:rsidRPr="00BF01DF">
        <w:rPr>
          <w:rFonts w:ascii="標楷體" w:eastAsia="標楷體" w:hAnsi="標楷體" w:cstheme="minorBidi" w:hint="eastAsia"/>
          <w:color w:val="000000"/>
          <w:shd w:val="clear" w:color="auto" w:fill="FFFFFF"/>
        </w:rPr>
        <w:t>桃教中字第1070101343號函</w:t>
      </w:r>
      <w:r>
        <w:rPr>
          <w:rFonts w:ascii="標楷體" w:eastAsia="標楷體" w:hAnsi="標楷體" w:cstheme="minorBidi" w:hint="eastAsia"/>
          <w:color w:val="000000"/>
          <w:shd w:val="clear" w:color="auto" w:fill="FFFFFF"/>
        </w:rPr>
        <w:t>。</w:t>
      </w:r>
    </w:p>
    <w:p w:rsidR="008C4CC8" w:rsidRPr="00CB11B5" w:rsidRDefault="00CB11B5" w:rsidP="00CB11B5">
      <w:pPr>
        <w:pStyle w:val="aa"/>
        <w:widowControl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目的：</w:t>
      </w:r>
      <w:r w:rsidR="008C4CC8" w:rsidRPr="00CB11B5">
        <w:rPr>
          <w:rFonts w:ascii="標楷體" w:eastAsia="標楷體" w:hAnsi="標楷體" w:cs="標楷體" w:hint="eastAsia"/>
          <w:kern w:val="0"/>
        </w:rPr>
        <w:t>落實十二</w:t>
      </w:r>
      <w:r>
        <w:rPr>
          <w:rFonts w:ascii="標楷體" w:eastAsia="標楷體" w:hAnsi="標楷體" w:cs="標楷體" w:hint="eastAsia"/>
          <w:kern w:val="0"/>
        </w:rPr>
        <w:t>年國民基本教育課程綱要（以下簡稱課綱）總綱柒、實施要點五，於本校實施公開授課，期藉由公開授課增進專業對話與成長，形塑同儕共同成長之文化，確保</w:t>
      </w:r>
      <w:r w:rsidR="008C4CC8" w:rsidRPr="00CB11B5">
        <w:rPr>
          <w:rFonts w:ascii="標楷體" w:eastAsia="標楷體" w:hAnsi="標楷體" w:cs="標楷體" w:hint="eastAsia"/>
          <w:kern w:val="0"/>
        </w:rPr>
        <w:t xml:space="preserve">學生有效學習。 </w:t>
      </w:r>
    </w:p>
    <w:p w:rsidR="008C4CC8" w:rsidRPr="00BF01DF" w:rsidRDefault="00CB11B5" w:rsidP="008C4CC8">
      <w:pPr>
        <w:widowControl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三</w:t>
      </w:r>
      <w:r w:rsidR="008C4CC8" w:rsidRPr="00BF01DF">
        <w:rPr>
          <w:rFonts w:ascii="標楷體" w:eastAsia="標楷體" w:hAnsi="標楷體" w:cs="標楷體" w:hint="eastAsia"/>
          <w:kern w:val="0"/>
        </w:rPr>
        <w:t>、</w:t>
      </w:r>
      <w:r>
        <w:rPr>
          <w:rFonts w:ascii="標楷體" w:eastAsia="標楷體" w:hAnsi="標楷體" w:cs="標楷體" w:hint="eastAsia"/>
          <w:kern w:val="0"/>
        </w:rPr>
        <w:t>實施對象</w:t>
      </w:r>
      <w:r w:rsidR="008C4CC8"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： </w:t>
      </w:r>
    </w:p>
    <w:p w:rsidR="008C4CC8" w:rsidRPr="00BF01DF" w:rsidRDefault="008C4CC8" w:rsidP="008C4CC8">
      <w:pPr>
        <w:widowControl/>
        <w:ind w:left="960" w:hangingChars="400" w:hanging="960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(一)依教育人員任用條例任用、聘任之現職國民中小學校長、授課專任教師及兼任行政職務專任教師。 </w:t>
      </w:r>
    </w:p>
    <w:p w:rsidR="008C4CC8" w:rsidRPr="00BF01DF" w:rsidRDefault="008C4CC8" w:rsidP="008C4CC8">
      <w:pPr>
        <w:widowControl/>
        <w:ind w:left="960" w:hangingChars="400" w:hanging="960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(二)依中小學兼任代課及代理教師聘任辦法聘任，聘期為三個月以上之代課、代理教師。 </w:t>
      </w:r>
    </w:p>
    <w:p w:rsidR="008C4CC8" w:rsidRPr="00BF01DF" w:rsidRDefault="008C4CC8" w:rsidP="008C4CC8">
      <w:pPr>
        <w:widowControl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(三)</w:t>
      </w:r>
      <w:r w:rsidR="00CB11B5">
        <w:rPr>
          <w:rFonts w:ascii="標楷體" w:eastAsia="標楷體" w:hAnsi="標楷體" w:cs="標楷體" w:hint="eastAsia"/>
          <w:kern w:val="0"/>
        </w:rPr>
        <w:t>其它</w:t>
      </w:r>
      <w:r w:rsidRPr="00BF01DF">
        <w:rPr>
          <w:rFonts w:ascii="標楷體" w:eastAsia="標楷體" w:hAnsi="標楷體" w:cs="標楷體" w:hint="eastAsia"/>
          <w:kern w:val="0"/>
        </w:rPr>
        <w:t>有意願公開授課者，</w:t>
      </w:r>
      <w:r w:rsidR="00CB11B5">
        <w:rPr>
          <w:rFonts w:ascii="標楷體" w:eastAsia="標楷體" w:hAnsi="標楷體" w:cs="標楷體" w:hint="eastAsia"/>
          <w:kern w:val="0"/>
        </w:rPr>
        <w:t>亦可</w:t>
      </w:r>
      <w:r w:rsidRPr="00BF01DF">
        <w:rPr>
          <w:rFonts w:ascii="標楷體" w:eastAsia="標楷體" w:hAnsi="標楷體" w:cs="標楷體" w:hint="eastAsia"/>
          <w:kern w:val="0"/>
        </w:rPr>
        <w:t xml:space="preserve">視同授課人員： </w:t>
      </w:r>
    </w:p>
    <w:p w:rsidR="008C4CC8" w:rsidRPr="00BF01DF" w:rsidRDefault="008C4CC8" w:rsidP="008C4CC8">
      <w:pPr>
        <w:widowControl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     1、依中小學兼任代課及代理教師聘任辦法聘任之兼任教師。 </w:t>
      </w:r>
    </w:p>
    <w:p w:rsidR="008C4CC8" w:rsidRPr="00BF01DF" w:rsidRDefault="008C4CC8" w:rsidP="008C4CC8">
      <w:pPr>
        <w:widowControl/>
        <w:ind w:left="1416" w:hangingChars="590" w:hanging="1416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     2、依中小學兼任代課及代理教師聘任辦法聘任，聘期不足三個月之代課、代理教師。 </w:t>
      </w:r>
    </w:p>
    <w:p w:rsidR="008C4CC8" w:rsidRPr="000C39E0" w:rsidRDefault="00CB11B5" w:rsidP="008C4CC8">
      <w:pPr>
        <w:widowControl/>
        <w:jc w:val="both"/>
        <w:rPr>
          <w:rFonts w:ascii="標楷體" w:eastAsia="標楷體" w:hAnsi="標楷體" w:cs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kern w:val="0"/>
        </w:rPr>
        <w:t>四</w:t>
      </w:r>
      <w:r w:rsidR="008C4CC8" w:rsidRPr="00BF01DF">
        <w:rPr>
          <w:rFonts w:ascii="標楷體" w:eastAsia="標楷體" w:hAnsi="標楷體" w:cs="標楷體" w:hint="eastAsia"/>
          <w:kern w:val="0"/>
        </w:rPr>
        <w:t>、</w:t>
      </w:r>
      <w:r w:rsidR="008C4CC8"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實施方式： </w:t>
      </w:r>
    </w:p>
    <w:p w:rsidR="008C4CC8" w:rsidRPr="000C39E0" w:rsidRDefault="00CB11B5" w:rsidP="008C4CC8">
      <w:pPr>
        <w:widowControl/>
        <w:jc w:val="both"/>
        <w:rPr>
          <w:rFonts w:ascii="標楷體" w:eastAsia="標楷體" w:hAnsi="標楷體" w:cs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</w:t>
      </w:r>
    </w:p>
    <w:p w:rsidR="008C4CC8" w:rsidRPr="000C39E0" w:rsidRDefault="008C4CC8" w:rsidP="008C4CC8">
      <w:pPr>
        <w:widowControl/>
        <w:ind w:left="1416" w:hangingChars="590" w:hanging="1416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     1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、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每學年至少公開授課一次，並以校內教師觀課為原則。</w:t>
      </w:r>
    </w:p>
    <w:p w:rsidR="008C4CC8" w:rsidRPr="000C39E0" w:rsidRDefault="008C4CC8" w:rsidP="008C4CC8">
      <w:pPr>
        <w:widowControl/>
        <w:ind w:left="1416" w:hangingChars="590" w:hanging="1416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     2、每學年至少擔任一次觀課教師，進行公開授課之教學觀察。</w:t>
      </w:r>
    </w:p>
    <w:p w:rsidR="008C4CC8" w:rsidRPr="000C39E0" w:rsidRDefault="008C4CC8" w:rsidP="008C4CC8">
      <w:pPr>
        <w:widowControl/>
        <w:ind w:left="1416" w:hangingChars="590" w:hanging="1416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     3、結合領域課程研究共備社群、輔導團分區輔導、到校輔導、分組合作學習、學習共同體、議題融入領域教學等方案辦理。</w:t>
      </w:r>
    </w:p>
    <w:p w:rsidR="008C4CC8" w:rsidRPr="000C39E0" w:rsidRDefault="008C4CC8" w:rsidP="00CB11B5">
      <w:pPr>
        <w:widowControl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</w:t>
      </w:r>
    </w:p>
    <w:p w:rsidR="008C4CC8" w:rsidRPr="000C39E0" w:rsidRDefault="00CB11B5" w:rsidP="008C4CC8">
      <w:pPr>
        <w:widowControl/>
        <w:jc w:val="both"/>
        <w:rPr>
          <w:rFonts w:ascii="標楷體" w:eastAsia="標楷體" w:hAnsi="標楷體" w:cs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>五</w:t>
      </w:r>
      <w:r w:rsidR="008C4CC8" w:rsidRPr="000C39E0">
        <w:rPr>
          <w:rFonts w:ascii="標楷體" w:eastAsia="標楷體" w:hAnsi="標楷體" w:cs="標楷體" w:hint="eastAsia"/>
          <w:color w:val="000000" w:themeColor="text1"/>
          <w:kern w:val="0"/>
        </w:rPr>
        <w:t>、實施流程：</w:t>
      </w:r>
    </w:p>
    <w:p w:rsidR="008C4CC8" w:rsidRPr="000C39E0" w:rsidRDefault="008C4CC8" w:rsidP="008C4CC8">
      <w:pPr>
        <w:widowControl/>
        <w:ind w:left="2126" w:hangingChars="886" w:hanging="2126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(一)共同備課：授課人員於公開授課前，應針對授課單元共同備課討論，得與各領域教學研究會、專業學習社群、年級或年段會議合併辦理，需有備課紀錄或影像紀錄。 </w:t>
      </w:r>
    </w:p>
    <w:p w:rsidR="008C4CC8" w:rsidRPr="00BF01DF" w:rsidRDefault="008C4CC8" w:rsidP="008C4CC8">
      <w:pPr>
        <w:widowControl/>
        <w:ind w:left="2126" w:hangingChars="886" w:hanging="2126"/>
        <w:jc w:val="both"/>
        <w:rPr>
          <w:rFonts w:ascii="標楷體" w:eastAsia="標楷體" w:hAnsi="標楷體" w:cs="標楷體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(二)說課活動：授課人員應簡要說明觀課課堂之</w:t>
      </w:r>
      <w:r w:rsidRPr="00BF01DF">
        <w:rPr>
          <w:rFonts w:ascii="標楷體" w:eastAsia="標楷體" w:hAnsi="標楷體" w:cs="標楷體" w:hint="eastAsia"/>
          <w:kern w:val="0"/>
        </w:rPr>
        <w:t>教學單元，對於觀課者及觀察內容作簡要說明，並依約定進行小組觀察或全課室觀察。若參與觀課之人員皆為原有共備社群成員，亦對該班學生學習狀況了解，則說課活動可省略。</w:t>
      </w:r>
    </w:p>
    <w:p w:rsidR="008C4CC8" w:rsidRPr="000C39E0" w:rsidRDefault="008C4CC8" w:rsidP="008C4CC8">
      <w:pPr>
        <w:widowControl/>
        <w:ind w:left="2126" w:hangingChars="886" w:hanging="2126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(三)公開授課：授課人員每次以一節為原則，得視課程需要增加節數，並於實施公開授課前提供簡要版教學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活動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設計，供觀課教師參考。</w:t>
      </w:r>
    </w:p>
    <w:p w:rsidR="008C4CC8" w:rsidRPr="000C39E0" w:rsidRDefault="008C4CC8" w:rsidP="008C4CC8">
      <w:pPr>
        <w:widowControl/>
        <w:ind w:left="2160" w:hangingChars="900" w:hanging="216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/>
          <w:color w:val="000000" w:themeColor="text1"/>
          <w:kern w:val="0"/>
        </w:rPr>
        <w:t xml:space="preserve">    (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四</w:t>
      </w:r>
      <w:r w:rsidRPr="000C39E0">
        <w:rPr>
          <w:rFonts w:ascii="標楷體" w:eastAsia="標楷體" w:hAnsi="標楷體" w:cs="標楷體"/>
          <w:color w:val="000000" w:themeColor="text1"/>
          <w:kern w:val="0"/>
        </w:rPr>
        <w:t>)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教學觀察：行政單位應提供觀課教師教學觀察紀錄表件，以利專業回饋之進行，並於觀課前分配觀課教師觀察不同學生之學習。</w:t>
      </w:r>
    </w:p>
    <w:p w:rsidR="008C4CC8" w:rsidRPr="000C39E0" w:rsidRDefault="008C4CC8" w:rsidP="008C4CC8">
      <w:pPr>
        <w:widowControl/>
        <w:ind w:left="2160" w:hangingChars="900" w:hanging="216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(五)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專業回饋：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由授課人員及觀課教師於公開授課後就該公開授課之學生課堂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學生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學習情形及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教師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教學觀察結果進行研討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，提供意見回饋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8C4CC8" w:rsidRPr="000C39E0" w:rsidRDefault="008C4CC8" w:rsidP="008C4CC8">
      <w:pPr>
        <w:widowControl/>
        <w:ind w:leftChars="531" w:left="2234" w:hangingChars="400" w:hanging="96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/>
          <w:color w:val="000000" w:themeColor="text1"/>
          <w:kern w:val="0"/>
        </w:rPr>
        <w:lastRenderedPageBreak/>
        <w:t xml:space="preserve">        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觀課教師應於公開觀課結束後</w:t>
      </w:r>
      <w:r w:rsidR="00CB11B5">
        <w:rPr>
          <w:rFonts w:ascii="標楷體" w:eastAsia="標楷體" w:hAnsi="標楷體" w:cs="標楷體" w:hint="eastAsia"/>
          <w:color w:val="000000" w:themeColor="text1"/>
          <w:kern w:val="0"/>
        </w:rPr>
        <w:t>應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繳交教學觀察紀錄表件，授課人員應於公開授課結束後繳交教學省思表件，並由學校彙整存查，以利相關研習時數核發事宜。</w:t>
      </w:r>
    </w:p>
    <w:p w:rsidR="008C4CC8" w:rsidRPr="000C39E0" w:rsidRDefault="008C4CC8" w:rsidP="008C4CC8">
      <w:pPr>
        <w:widowControl/>
        <w:ind w:left="960" w:hangingChars="400" w:hanging="96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(六)完成公開授課之授課人員，得檢具參與共同備課、接受教學觀察及專業回饋紀錄，由服務學校覈實核給研習時數證明。</w:t>
      </w:r>
    </w:p>
    <w:p w:rsidR="008C4CC8" w:rsidRPr="000C39E0" w:rsidRDefault="008C4CC8" w:rsidP="00D53F16">
      <w:pPr>
        <w:widowControl/>
        <w:ind w:left="960" w:hangingChars="400" w:hanging="960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 (七)觀</w:t>
      </w:r>
      <w:r w:rsidR="00D53F16" w:rsidRPr="000C39E0">
        <w:rPr>
          <w:rFonts w:ascii="標楷體" w:eastAsia="標楷體" w:hAnsi="標楷體" w:cs="標楷體" w:hint="eastAsia"/>
          <w:color w:val="000000" w:themeColor="text1"/>
          <w:kern w:val="0"/>
        </w:rPr>
        <w:t>課教師得檢具參與共同備課、教學觀察及所提供之專業回饋紀錄，由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學校覈實核給研習時數證明。</w:t>
      </w:r>
    </w:p>
    <w:p w:rsidR="008C4CC8" w:rsidRPr="00BF01DF" w:rsidRDefault="007D3D81" w:rsidP="008C4CC8">
      <w:pPr>
        <w:widowControl/>
        <w:ind w:left="480" w:hangingChars="20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>六</w:t>
      </w:r>
      <w:r w:rsidR="00D53F16" w:rsidRPr="000C39E0">
        <w:rPr>
          <w:rFonts w:ascii="標楷體" w:eastAsia="標楷體" w:hAnsi="標楷體" w:cs="標楷體" w:hint="eastAsia"/>
          <w:color w:val="000000" w:themeColor="text1"/>
          <w:kern w:val="0"/>
        </w:rPr>
        <w:t>、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理念及策略：依據</w:t>
      </w:r>
      <w:r w:rsidR="008C4CC8" w:rsidRPr="000C39E0">
        <w:rPr>
          <w:rFonts w:ascii="標楷體" w:eastAsia="標楷體" w:hAnsi="標楷體" w:cs="標楷體" w:hint="eastAsia"/>
          <w:color w:val="000000" w:themeColor="text1"/>
          <w:kern w:val="0"/>
        </w:rPr>
        <w:t>校本特色、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人力</w:t>
      </w:r>
      <w:r w:rsidR="008C4CC8" w:rsidRPr="000C39E0">
        <w:rPr>
          <w:rFonts w:ascii="標楷體" w:eastAsia="標楷體" w:hAnsi="標楷體" w:cs="標楷體" w:hint="eastAsia"/>
          <w:color w:val="000000" w:themeColor="text1"/>
          <w:kern w:val="0"/>
        </w:rPr>
        <w:t>資</w:t>
      </w:r>
      <w:r w:rsidR="00D53F16" w:rsidRPr="000C39E0">
        <w:rPr>
          <w:rFonts w:ascii="標楷體" w:eastAsia="標楷體" w:hAnsi="標楷體" w:cs="標楷體" w:hint="eastAsia"/>
          <w:color w:val="000000" w:themeColor="text1"/>
          <w:kern w:val="0"/>
        </w:rPr>
        <w:t>源及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專長，在地</w:t>
      </w:r>
      <w:r w:rsidR="00D53F16" w:rsidRPr="000C39E0">
        <w:rPr>
          <w:rFonts w:ascii="標楷體" w:eastAsia="標楷體" w:hAnsi="標楷體" w:cs="標楷體" w:hint="eastAsia"/>
          <w:color w:val="000000" w:themeColor="text1"/>
          <w:kern w:val="0"/>
        </w:rPr>
        <w:t>文化，經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課發會及校務行政會議</w:t>
      </w:r>
      <w:r w:rsidR="00D53F16">
        <w:rPr>
          <w:rFonts w:ascii="標楷體" w:eastAsia="標楷體" w:hAnsi="標楷體" w:cs="標楷體" w:hint="eastAsia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討論後訂定</w:t>
      </w:r>
      <w:r w:rsidR="00D53F16">
        <w:rPr>
          <w:rFonts w:ascii="標楷體" w:eastAsia="標楷體" w:hAnsi="標楷體" w:cs="標楷體" w:hint="eastAsia"/>
          <w:kern w:val="0"/>
        </w:rPr>
        <w:t>公開授課計畫，並於學校網頁公告</w:t>
      </w:r>
      <w:r w:rsidR="008C4CC8" w:rsidRPr="00BF01DF"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cs="標楷體" w:hint="eastAsia"/>
          <w:kern w:val="0"/>
        </w:rPr>
        <w:t>具體要點如下：</w:t>
      </w:r>
    </w:p>
    <w:p w:rsidR="008C4CC8" w:rsidRPr="00BF01DF" w:rsidRDefault="008C4CC8" w:rsidP="008C4CC8">
      <w:pPr>
        <w:widowControl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</w:t>
      </w:r>
    </w:p>
    <w:p w:rsidR="008C4CC8" w:rsidRPr="00BF01DF" w:rsidRDefault="008C4CC8" w:rsidP="008C4CC8">
      <w:pPr>
        <w:widowControl/>
        <w:ind w:left="960" w:hangingChars="400" w:hanging="960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(一)公開授課得結合學校教學觀摩、教師專業研習、課程</w:t>
      </w:r>
      <w:r w:rsidR="007D3D81">
        <w:rPr>
          <w:rFonts w:ascii="標楷體" w:eastAsia="標楷體" w:hAnsi="標楷體" w:cs="標楷體" w:hint="eastAsia"/>
          <w:kern w:val="0"/>
        </w:rPr>
        <w:t>發展</w:t>
      </w:r>
      <w:r w:rsidRPr="00BF01DF">
        <w:rPr>
          <w:rFonts w:ascii="標楷體" w:eastAsia="標楷體" w:hAnsi="標楷體" w:cs="標楷體" w:hint="eastAsia"/>
          <w:kern w:val="0"/>
        </w:rPr>
        <w:t>與教學創新、</w:t>
      </w:r>
      <w:r w:rsidR="007D3D81">
        <w:rPr>
          <w:rFonts w:ascii="標楷體" w:eastAsia="標楷體" w:hAnsi="標楷體" w:cs="標楷體" w:hint="eastAsia"/>
          <w:kern w:val="0"/>
        </w:rPr>
        <w:t>學習社群研討成長等</w:t>
      </w:r>
      <w:r w:rsidRPr="00BF01DF">
        <w:rPr>
          <w:rFonts w:ascii="標楷體" w:eastAsia="標楷體" w:hAnsi="標楷體" w:cs="標楷體" w:hint="eastAsia"/>
          <w:kern w:val="0"/>
        </w:rPr>
        <w:t>。</w:t>
      </w:r>
    </w:p>
    <w:p w:rsidR="008C4CC8" w:rsidRPr="00BF01DF" w:rsidRDefault="008C4CC8" w:rsidP="008C4CC8">
      <w:pPr>
        <w:widowControl/>
        <w:ind w:left="850" w:hangingChars="354" w:hanging="850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/>
          <w:kern w:val="0"/>
        </w:rPr>
        <w:t xml:space="preserve">    (</w:t>
      </w:r>
      <w:r w:rsidRPr="00BF01DF">
        <w:rPr>
          <w:rFonts w:ascii="標楷體" w:eastAsia="標楷體" w:hAnsi="標楷體" w:cs="標楷體" w:hint="eastAsia"/>
          <w:kern w:val="0"/>
        </w:rPr>
        <w:t>二</w:t>
      </w:r>
      <w:r w:rsidRPr="00BF01DF">
        <w:rPr>
          <w:rFonts w:ascii="標楷體" w:eastAsia="標楷體" w:hAnsi="標楷體" w:cs="標楷體"/>
          <w:kern w:val="0"/>
        </w:rPr>
        <w:t>)</w:t>
      </w:r>
      <w:r w:rsidR="007D3D81">
        <w:rPr>
          <w:rFonts w:ascii="標楷體" w:eastAsia="標楷體" w:hAnsi="標楷體" w:cs="標楷體" w:hint="eastAsia"/>
          <w:kern w:val="0"/>
        </w:rPr>
        <w:t>教學觀察人員，以全程參與為原則，不</w:t>
      </w:r>
      <w:r w:rsidRPr="00BF01DF">
        <w:rPr>
          <w:rFonts w:ascii="標楷體" w:eastAsia="標楷體" w:hAnsi="標楷體" w:cs="標楷體" w:hint="eastAsia"/>
          <w:kern w:val="0"/>
        </w:rPr>
        <w:t>定期邀請家長參與教師公開授課（參與者應全程參與，內容包含：共同備課、說課活動、公開授課及教學觀察，並應遵守觀課倫理不損害學生學習權及隱私權）或其他課程及教學相關活動，增</w:t>
      </w:r>
      <w:r w:rsidR="007D3D81">
        <w:rPr>
          <w:rFonts w:ascii="標楷體" w:eastAsia="標楷體" w:hAnsi="標楷體" w:cs="標楷體" w:hint="eastAsia"/>
          <w:kern w:val="0"/>
        </w:rPr>
        <w:t>進家長參與教師教學、學校課程、教學實踐及專業回饋，建立親師生共同成長</w:t>
      </w:r>
      <w:r w:rsidRPr="00BF01DF">
        <w:rPr>
          <w:rFonts w:ascii="標楷體" w:eastAsia="標楷體" w:hAnsi="標楷體" w:cs="標楷體" w:hint="eastAsia"/>
          <w:kern w:val="0"/>
        </w:rPr>
        <w:t>之學校文化。</w:t>
      </w:r>
    </w:p>
    <w:p w:rsidR="008C4CC8" w:rsidRPr="00BF01DF" w:rsidRDefault="008C4CC8" w:rsidP="008C4CC8">
      <w:pPr>
        <w:widowControl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(三)提供公開授課相關之研習課程，協助校長及教師實施公開授課。</w:t>
      </w:r>
    </w:p>
    <w:p w:rsidR="008C4CC8" w:rsidRPr="00BF01DF" w:rsidRDefault="008C4CC8" w:rsidP="00C5799C">
      <w:pPr>
        <w:widowControl/>
        <w:ind w:left="960" w:hangingChars="400" w:hanging="960"/>
        <w:jc w:val="both"/>
        <w:rPr>
          <w:rFonts w:ascii="標楷體" w:eastAsia="標楷體" w:hAnsi="標楷體" w:cs="標楷體"/>
          <w:kern w:val="0"/>
        </w:rPr>
      </w:pPr>
      <w:r w:rsidRPr="00BF01DF">
        <w:rPr>
          <w:rFonts w:ascii="標楷體" w:eastAsia="標楷體" w:hAnsi="標楷體" w:cs="標楷體" w:hint="eastAsia"/>
          <w:kern w:val="0"/>
        </w:rPr>
        <w:t xml:space="preserve">    (四)</w:t>
      </w:r>
      <w:r w:rsidR="00D53F16" w:rsidRPr="000C39E0">
        <w:rPr>
          <w:rFonts w:ascii="標楷體" w:eastAsia="標楷體" w:hAnsi="標楷體" w:cs="標楷體" w:hint="eastAsia"/>
          <w:color w:val="000000" w:themeColor="text1"/>
          <w:kern w:val="0"/>
        </w:rPr>
        <w:t>行政單位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彙整公開授課計畫，</w:t>
      </w:r>
      <w:r w:rsidR="007D3D81">
        <w:rPr>
          <w:rFonts w:ascii="標楷體" w:eastAsia="標楷體" w:hAnsi="標楷體" w:cs="標楷體" w:hint="eastAsia"/>
          <w:color w:val="000000" w:themeColor="text1"/>
          <w:kern w:val="0"/>
        </w:rPr>
        <w:t>於校網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公告各學年度辦理</w:t>
      </w:r>
      <w:r w:rsidR="007D3D81">
        <w:rPr>
          <w:rFonts w:ascii="標楷體" w:eastAsia="標楷體" w:hAnsi="標楷體" w:cs="標楷體" w:hint="eastAsia"/>
          <w:color w:val="000000" w:themeColor="text1"/>
          <w:kern w:val="0"/>
        </w:rPr>
        <w:t>時程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，上學期於九月三十日前、下學期於三月三十一日前</w:t>
      </w:r>
      <w:r w:rsidR="007D3D81">
        <w:rPr>
          <w:rFonts w:ascii="標楷體" w:eastAsia="標楷體" w:hAnsi="標楷體" w:cs="標楷體" w:hint="eastAsia"/>
          <w:color w:val="000000" w:themeColor="text1"/>
          <w:kern w:val="0"/>
        </w:rPr>
        <w:t>完成公告</w:t>
      </w:r>
      <w:r w:rsidRPr="000C39E0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  <w:r w:rsidRPr="00BF01DF">
        <w:rPr>
          <w:rFonts w:ascii="標楷體" w:eastAsia="標楷體" w:hAnsi="標楷體" w:cs="標楷體"/>
          <w:kern w:val="0"/>
        </w:rPr>
        <w:br w:type="page"/>
      </w:r>
    </w:p>
    <w:p w:rsidR="006A10DE" w:rsidRPr="00186DAB" w:rsidRDefault="00C5799C" w:rsidP="006A10D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-236" w:left="142" w:hangingChars="221" w:hanging="708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lastRenderedPageBreak/>
        <w:t xml:space="preserve"> </w:t>
      </w:r>
      <w:r w:rsidR="00186DAB">
        <w:rPr>
          <w:rFonts w:ascii="標楷體" w:eastAsia="標楷體" w:hAnsi="標楷體" w:cs="標楷體" w:hint="eastAsia"/>
          <w:b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 xml:space="preserve"> </w:t>
      </w:r>
      <w:r w:rsidR="006A10DE"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桃園市</w:t>
      </w:r>
      <w:r w:rsidR="006A10DE">
        <w:rPr>
          <w:rFonts w:ascii="新細明體" w:hAnsi="新細明體" w:cs="新細明體" w:hint="eastAsia"/>
          <w:b/>
          <w:kern w:val="0"/>
          <w:sz w:val="28"/>
          <w:szCs w:val="28"/>
        </w:rPr>
        <w:t>10</w:t>
      </w:r>
      <w:r w:rsidR="006A10DE">
        <w:rPr>
          <w:rFonts w:ascii="新細明體" w:hAnsi="新細明體" w:cs="新細明體"/>
          <w:b/>
          <w:kern w:val="0"/>
          <w:sz w:val="28"/>
          <w:szCs w:val="28"/>
        </w:rPr>
        <w:t>9</w:t>
      </w:r>
      <w:r w:rsidR="006A10DE"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學年度</w:t>
      </w:r>
      <w:r w:rsidR="006A10DE" w:rsidRPr="00186D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大溪</w:t>
      </w:r>
      <w:r w:rsidR="006A10DE"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區</w:t>
      </w:r>
      <w:r w:rsidR="006A10DE" w:rsidRPr="00186D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內柵</w:t>
      </w:r>
      <w:r w:rsidR="006A10DE"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國民</w:t>
      </w:r>
      <w:r w:rsidR="006A10DE" w:rsidRPr="00186DAB">
        <w:rPr>
          <w:rFonts w:ascii="標楷體" w:eastAsia="標楷體" w:hAnsi="標楷體" w:cs="標楷體"/>
          <w:b/>
          <w:kern w:val="0"/>
          <w:sz w:val="28"/>
          <w:szCs w:val="28"/>
        </w:rPr>
        <w:t>小學校長及教師公開授課活動</w:t>
      </w:r>
    </w:p>
    <w:p w:rsidR="006A10DE" w:rsidRPr="00186DAB" w:rsidRDefault="006A10DE" w:rsidP="006A10D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186DAB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        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</w:t>
      </w:r>
      <w:r w:rsidRPr="00186D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</w:t>
      </w:r>
      <w:r w:rsidRPr="00186DAB">
        <w:rPr>
          <w:rFonts w:ascii="新細明體" w:hAnsi="新細明體" w:cs="新細明體" w:hint="eastAsia"/>
          <w:b/>
          <w:kern w:val="0"/>
          <w:sz w:val="28"/>
          <w:szCs w:val="28"/>
        </w:rPr>
        <w:t>1</w:t>
      </w:r>
      <w:r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Pr="00186DAB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</w:p>
    <w:tbl>
      <w:tblPr>
        <w:tblW w:w="7930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1417"/>
        <w:gridCol w:w="1276"/>
        <w:gridCol w:w="1709"/>
        <w:gridCol w:w="2543"/>
      </w:tblGrid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授課班級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領域/</w:t>
            </w:r>
            <w:r w:rsidRPr="00BF01DF">
              <w:rPr>
                <w:rFonts w:ascii="標楷體" w:eastAsia="標楷體" w:hAnsi="標楷體" w:cs="標楷體"/>
                <w:kern w:val="0"/>
              </w:rPr>
              <w:t>科目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時間/節次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簡士寬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923F35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23F35">
              <w:rPr>
                <w:rFonts w:ascii="標楷體" w:eastAsia="標楷體" w:hAnsi="標楷體" w:cs="標楷體" w:hint="eastAsia"/>
                <w:kern w:val="0"/>
              </w:rPr>
              <w:t>第三節11/19(四)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李明金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三甲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2/03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葉柏均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體育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第一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1/24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BF01DF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李桂英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第三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2/02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潘筑甄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第三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2/08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林慧雯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健康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第一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2/09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三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王碧禛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自然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第三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節1</w:t>
            </w:r>
            <w:r>
              <w:rPr>
                <w:rFonts w:ascii="標楷體" w:eastAsia="標楷體" w:hAnsi="標楷體" w:cs="標楷體" w:hint="eastAsia"/>
                <w:kern w:val="0"/>
              </w:rPr>
              <w:t>2/24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四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</w:tbl>
    <w:p w:rsidR="006A10DE" w:rsidRDefault="006A10DE" w:rsidP="006A10D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新細明體" w:hAnsi="新細明體" w:cs="新細明體"/>
          <w:b/>
          <w:kern w:val="0"/>
          <w:sz w:val="32"/>
          <w:szCs w:val="32"/>
        </w:rPr>
      </w:pPr>
      <w:r w:rsidRPr="00C5799C">
        <w:rPr>
          <w:rFonts w:ascii="新細明體" w:hAnsi="新細明體" w:cs="新細明體" w:hint="eastAsia"/>
          <w:b/>
          <w:kern w:val="0"/>
          <w:sz w:val="32"/>
          <w:szCs w:val="32"/>
        </w:rPr>
        <w:t xml:space="preserve">       </w:t>
      </w:r>
      <w:r>
        <w:rPr>
          <w:rFonts w:ascii="新細明體" w:hAnsi="新細明體" w:cs="新細明體" w:hint="eastAsia"/>
          <w:b/>
          <w:kern w:val="0"/>
          <w:sz w:val="32"/>
          <w:szCs w:val="32"/>
        </w:rPr>
        <w:t xml:space="preserve">        </w:t>
      </w:r>
    </w:p>
    <w:p w:rsidR="006A10DE" w:rsidRPr="00186DAB" w:rsidRDefault="006A10DE" w:rsidP="006A10DE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 xml:space="preserve">                 </w:t>
      </w:r>
      <w:r w:rsidRPr="00186D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第</w:t>
      </w:r>
      <w:r w:rsidRPr="00186DAB">
        <w:rPr>
          <w:rFonts w:ascii="新細明體" w:hAnsi="新細明體" w:cs="新細明體" w:hint="eastAsia"/>
          <w:b/>
          <w:kern w:val="0"/>
          <w:sz w:val="28"/>
          <w:szCs w:val="28"/>
        </w:rPr>
        <w:t>2</w:t>
      </w:r>
      <w:r w:rsidRPr="00186DAB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學期</w:t>
      </w:r>
      <w:r w:rsidRPr="00186DAB">
        <w:rPr>
          <w:rFonts w:ascii="標楷體" w:eastAsia="標楷體" w:hAnsi="標楷體" w:cs="標楷體"/>
          <w:b/>
          <w:kern w:val="0"/>
          <w:sz w:val="28"/>
          <w:szCs w:val="28"/>
        </w:rPr>
        <w:t>辦理時間規劃表</w:t>
      </w:r>
    </w:p>
    <w:tbl>
      <w:tblPr>
        <w:tblW w:w="7955" w:type="dxa"/>
        <w:jc w:val="center"/>
        <w:tblLayout w:type="fixed"/>
        <w:tblLook w:val="0000" w:firstRow="0" w:lastRow="0" w:firstColumn="0" w:lastColumn="0" w:noHBand="0" w:noVBand="0"/>
      </w:tblPr>
      <w:tblGrid>
        <w:gridCol w:w="985"/>
        <w:gridCol w:w="1417"/>
        <w:gridCol w:w="1276"/>
        <w:gridCol w:w="1701"/>
        <w:gridCol w:w="2576"/>
      </w:tblGrid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項次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授課班級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 w:hint="eastAsia"/>
                <w:kern w:val="0"/>
              </w:rPr>
              <w:t>領域/</w:t>
            </w:r>
            <w:r w:rsidRPr="00BF01DF">
              <w:rPr>
                <w:rFonts w:ascii="標楷體" w:eastAsia="標楷體" w:hAnsi="標楷體" w:cs="標楷體"/>
                <w:kern w:val="0"/>
              </w:rPr>
              <w:t>科目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F01DF">
              <w:rPr>
                <w:rFonts w:ascii="標楷體" w:eastAsia="標楷體" w:hAnsi="標楷體" w:cs="標楷體"/>
                <w:kern w:val="0"/>
              </w:rPr>
              <w:t>時間/節次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潘珮瑜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英語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第一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3/19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馬雪娟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三甲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第四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3/22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  <w:bookmarkStart w:id="0" w:name="_GoBack"/>
        <w:bookmarkEnd w:id="0"/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許家瑋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美勞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第六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4/12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蘇人杰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健體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第七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4/27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黃美鳳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數學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第四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5/04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  <w:tr w:rsidR="006A10DE" w:rsidRPr="00BF01DF" w:rsidTr="00BC63EB">
        <w:trPr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吳曉蓉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二甲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數學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0DE" w:rsidRPr="00BF01DF" w:rsidRDefault="006A10DE" w:rsidP="00BC6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第二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節</w:t>
            </w:r>
            <w:r>
              <w:rPr>
                <w:rFonts w:ascii="標楷體" w:eastAsia="標楷體" w:hAnsi="標楷體" w:cs="標楷體" w:hint="eastAsia"/>
                <w:kern w:val="0"/>
              </w:rPr>
              <w:t>5/07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kern w:val="0"/>
              </w:rPr>
              <w:t>五</w:t>
            </w:r>
            <w:r w:rsidRPr="00923F35">
              <w:rPr>
                <w:rFonts w:ascii="標楷體" w:eastAsia="標楷體" w:hAnsi="標楷體" w:cs="標楷體" w:hint="eastAsia"/>
                <w:kern w:val="0"/>
              </w:rPr>
              <w:t>)</w:t>
            </w:r>
          </w:p>
        </w:tc>
      </w:tr>
    </w:tbl>
    <w:p w:rsidR="006A10DE" w:rsidRPr="00664DCE" w:rsidRDefault="006A10DE" w:rsidP="006A10DE"/>
    <w:p w:rsidR="00E10DE6" w:rsidRDefault="00E10DE6" w:rsidP="005644F4">
      <w:pPr>
        <w:widowControl/>
        <w:pBdr>
          <w:top w:val="nil"/>
          <w:left w:val="nil"/>
          <w:bottom w:val="nil"/>
          <w:right w:val="nil"/>
          <w:between w:val="nil"/>
        </w:pBdr>
        <w:spacing w:before="115" w:line="0" w:lineRule="atLeast"/>
        <w:ind w:leftChars="-236" w:left="-36" w:hangingChars="221" w:hanging="530"/>
        <w:jc w:val="both"/>
      </w:pPr>
    </w:p>
    <w:sectPr w:rsidR="00E10DE6" w:rsidSect="00D74092">
      <w:pgSz w:w="11906" w:h="16838"/>
      <w:pgMar w:top="1440" w:right="1274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94" w:rsidRDefault="007F2B94" w:rsidP="008C4CC8">
      <w:r>
        <w:separator/>
      </w:r>
    </w:p>
  </w:endnote>
  <w:endnote w:type="continuationSeparator" w:id="0">
    <w:p w:rsidR="007F2B94" w:rsidRDefault="007F2B94" w:rsidP="008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94" w:rsidRDefault="007F2B94" w:rsidP="008C4CC8">
      <w:r>
        <w:separator/>
      </w:r>
    </w:p>
  </w:footnote>
  <w:footnote w:type="continuationSeparator" w:id="0">
    <w:p w:rsidR="007F2B94" w:rsidRDefault="007F2B94" w:rsidP="008C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8A9"/>
    <w:multiLevelType w:val="hybridMultilevel"/>
    <w:tmpl w:val="8AC4EF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B"/>
    <w:rsid w:val="000152BC"/>
    <w:rsid w:val="00042365"/>
    <w:rsid w:val="0006673E"/>
    <w:rsid w:val="000758EE"/>
    <w:rsid w:val="000C39E0"/>
    <w:rsid w:val="000E5422"/>
    <w:rsid w:val="000F3D13"/>
    <w:rsid w:val="00154160"/>
    <w:rsid w:val="00162C1B"/>
    <w:rsid w:val="001845B2"/>
    <w:rsid w:val="00186DAB"/>
    <w:rsid w:val="001E4BD7"/>
    <w:rsid w:val="00216295"/>
    <w:rsid w:val="0026456D"/>
    <w:rsid w:val="003A0575"/>
    <w:rsid w:val="004C4FAD"/>
    <w:rsid w:val="005644F4"/>
    <w:rsid w:val="005C7B5B"/>
    <w:rsid w:val="00622E9E"/>
    <w:rsid w:val="00635C74"/>
    <w:rsid w:val="00653074"/>
    <w:rsid w:val="006A10DE"/>
    <w:rsid w:val="007D13DE"/>
    <w:rsid w:val="007D3D81"/>
    <w:rsid w:val="007F2B94"/>
    <w:rsid w:val="008C4CC8"/>
    <w:rsid w:val="0093138F"/>
    <w:rsid w:val="009E48F6"/>
    <w:rsid w:val="009F2A23"/>
    <w:rsid w:val="00A66293"/>
    <w:rsid w:val="00B31AA1"/>
    <w:rsid w:val="00B5519F"/>
    <w:rsid w:val="00BA1C13"/>
    <w:rsid w:val="00BB652E"/>
    <w:rsid w:val="00C5799C"/>
    <w:rsid w:val="00CB11B5"/>
    <w:rsid w:val="00CC466D"/>
    <w:rsid w:val="00D01D93"/>
    <w:rsid w:val="00D53F16"/>
    <w:rsid w:val="00D74092"/>
    <w:rsid w:val="00DC5B30"/>
    <w:rsid w:val="00DF7160"/>
    <w:rsid w:val="00E10DE6"/>
    <w:rsid w:val="00E23E1F"/>
    <w:rsid w:val="00E25021"/>
    <w:rsid w:val="00E775A4"/>
    <w:rsid w:val="00EA1A8E"/>
    <w:rsid w:val="00EA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0A0B1-744B-4B55-B7F2-D85BE0B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C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CC8"/>
    <w:rPr>
      <w:sz w:val="20"/>
      <w:szCs w:val="20"/>
    </w:rPr>
  </w:style>
  <w:style w:type="table" w:customStyle="1" w:styleId="3">
    <w:name w:val="表格格線3"/>
    <w:basedOn w:val="a1"/>
    <w:next w:val="a7"/>
    <w:uiPriority w:val="59"/>
    <w:rsid w:val="008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39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B11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8AF1-3009-4C06-89C0-F7403168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2019-10-14T01:53:00Z</cp:lastPrinted>
  <dcterms:created xsi:type="dcterms:W3CDTF">2020-11-04T01:23:00Z</dcterms:created>
  <dcterms:modified xsi:type="dcterms:W3CDTF">2020-11-04T01:25:00Z</dcterms:modified>
</cp:coreProperties>
</file>